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4AEC4288" w:rsidR="001E3770" w:rsidRDefault="00AA70E3" w:rsidP="00B3680F">
      <w:pPr>
        <w:spacing w:line="240" w:lineRule="auto"/>
        <w:jc w:val="right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                                </w:t>
      </w: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8B6719">
        <w:rPr>
          <w:rFonts w:ascii="GHEA Grapalat" w:hAnsi="GHEA Grapalat"/>
          <w:lang w:val="hy-AM"/>
        </w:rPr>
        <w:t>17</w:t>
      </w:r>
      <w:r w:rsidR="005761F8" w:rsidRPr="008B6719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1E3770">
        <w:rPr>
          <w:rFonts w:ascii="GHEA Grapalat" w:hAnsi="GHEA Grapalat"/>
          <w:lang w:val="hy-AM"/>
        </w:rPr>
        <w:t xml:space="preserve">   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7A49D706" w14:textId="77777777" w:rsidR="002565E2" w:rsidRDefault="002565E2" w:rsidP="009B5EC1">
      <w:pPr>
        <w:rPr>
          <w:rFonts w:ascii="GHEA Grapalat" w:hAnsi="GHEA Grapalat"/>
          <w:sz w:val="72"/>
          <w:szCs w:val="72"/>
          <w:lang w:val="en-US"/>
        </w:rPr>
      </w:pPr>
    </w:p>
    <w:p w14:paraId="7DCAFDC8" w14:textId="77777777" w:rsidR="002565E2" w:rsidRDefault="002565E2" w:rsidP="009B5EC1">
      <w:pPr>
        <w:rPr>
          <w:rFonts w:ascii="GHEA Grapalat" w:hAnsi="GHEA Grapalat"/>
          <w:sz w:val="72"/>
          <w:szCs w:val="72"/>
          <w:lang w:val="en-US"/>
        </w:rPr>
      </w:pPr>
    </w:p>
    <w:p w14:paraId="6F76E48E" w14:textId="77777777" w:rsidR="002565E2" w:rsidRDefault="002565E2" w:rsidP="009B5EC1">
      <w:pPr>
        <w:rPr>
          <w:rFonts w:ascii="GHEA Grapalat" w:hAnsi="GHEA Grapalat"/>
          <w:sz w:val="72"/>
          <w:szCs w:val="72"/>
          <w:lang w:val="en-US"/>
        </w:rPr>
      </w:pPr>
    </w:p>
    <w:p w14:paraId="4548DFAB" w14:textId="77777777" w:rsidR="00AA70E3" w:rsidRPr="00885964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3F2B0203" w14:textId="77777777" w:rsidR="002565E2" w:rsidRPr="00885964" w:rsidRDefault="002565E2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747E4301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36363A" w:rsidRPr="008B6719">
        <w:rPr>
          <w:rFonts w:ascii="GHEA Grapalat" w:hAnsi="GHEA Grapalat"/>
          <w:sz w:val="36"/>
          <w:szCs w:val="36"/>
          <w:lang w:val="hy-AM"/>
        </w:rPr>
        <w:t>5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885964" w:rsidRDefault="00AA70E3" w:rsidP="009B5EC1">
      <w:pPr>
        <w:rPr>
          <w:rFonts w:ascii="GHEA Grapalat" w:hAnsi="GHEA Grapalat"/>
          <w:lang w:val="hy-AM"/>
        </w:rPr>
      </w:pPr>
    </w:p>
    <w:p w14:paraId="6FF9129D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414C15F5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0FD6EE41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437EF434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786B3864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1EF33AD6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7424ED9E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47BCCA59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30AB8D3A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4055BC31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342180A3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4548DFB1" w14:textId="77FE8E29" w:rsidR="00183C04" w:rsidRDefault="00AA70E3" w:rsidP="00885964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  <w:r w:rsidR="00885964">
        <w:rPr>
          <w:rFonts w:ascii="GHEA Grapalat" w:hAnsi="GHEA Grapalat"/>
          <w:lang w:val="hy-AM"/>
        </w:rPr>
        <w:t xml:space="preserve"> </w:t>
      </w:r>
      <w:r w:rsidR="00D339D6">
        <w:rPr>
          <w:rFonts w:ascii="GHEA Grapalat" w:hAnsi="GHEA Grapalat"/>
          <w:lang w:val="hy-AM"/>
        </w:rPr>
        <w:t>ք</w:t>
      </w:r>
      <w:r w:rsidR="00D339D6" w:rsidRPr="00AB2A8D">
        <w:rPr>
          <w:rFonts w:ascii="GHEA Grapalat" w:hAnsi="GHEA Grapalat"/>
          <w:lang w:val="hy-AM"/>
        </w:rPr>
        <w:t>.Աբովյան 2022</w:t>
      </w:r>
      <w:r w:rsidR="00D339D6">
        <w:rPr>
          <w:rFonts w:ascii="GHEA Grapalat" w:hAnsi="GHEA Grapalat"/>
          <w:lang w:val="hy-AM"/>
        </w:rPr>
        <w:t xml:space="preserve"> </w:t>
      </w:r>
      <w:r w:rsidR="00D339D6"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6" w14:textId="5D2448D2" w:rsidR="00F213F5" w:rsidRPr="00885964" w:rsidRDefault="00885964" w:rsidP="00885964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F77AF2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37277" w:rsidRPr="00885964">
        <w:rPr>
          <w:rFonts w:ascii="GHEA Grapalat" w:hAnsi="GHEA Grapalat"/>
          <w:color w:val="000000"/>
          <w:sz w:val="22"/>
          <w:szCs w:val="22"/>
          <w:lang w:val="hy-AM"/>
        </w:rPr>
        <w:t>Աբովյան համայնքի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«Աբովյան</w:t>
      </w:r>
      <w:r w:rsidR="00D37277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քաղաքի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E18A9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36363A" w:rsidRPr="00885964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մանկապարտեզ» համայնքային ոչ առևտրային կազմակ</w:t>
      </w:r>
      <w:r w:rsidR="00DE089E" w:rsidRPr="00885964">
        <w:rPr>
          <w:rFonts w:ascii="GHEA Grapalat" w:hAnsi="GHEA Grapalat"/>
          <w:color w:val="000000"/>
          <w:sz w:val="22"/>
          <w:szCs w:val="22"/>
          <w:lang w:val="hy-AM"/>
        </w:rPr>
        <w:t>ե</w:t>
      </w: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t>րպությունն</w:t>
      </w:r>
      <w:r w:rsidR="00F213F5" w:rsidRPr="00885964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 w:rsidRPr="00885964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D339D6" w:rsidRPr="00885964">
        <w:rPr>
          <w:rFonts w:ascii="GHEA Grapalat" w:hAnsi="GHEA Grapalat"/>
          <w:color w:val="000000"/>
          <w:sz w:val="22"/>
          <w:szCs w:val="22"/>
          <w:lang w:val="hy-AM"/>
        </w:rPr>
        <w:br/>
      </w:r>
      <w:r w:rsidR="00D339D6" w:rsidRPr="00885964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="004F3E8E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Հաստատության հիմնադիրն է Աբովյան 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համայնքը</w:t>
      </w:r>
      <w:r w:rsidR="004F3E8E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Աբովյան համայնքի «Աբովյան քաղաքի թիվ 5 մանկապարտեզ» համայնքային ոչ առևտրային կազմակերպությունը համարվում է անվանափոխված «Աբովյանի N 5 մանկապարտեզ» համայնքային ոչ առևտրային կազմակերպության (գրանցահամարը՝</w:t>
      </w:r>
      <w:r w:rsidR="00896DB2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11.210.02310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, վկայական՝ </w:t>
      </w:r>
      <w:r w:rsidR="00896DB2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03Ա071279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) իրավահաջորդը, որը ստեղծվել է </w:t>
      </w:r>
      <w:r w:rsidR="00EB3DC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ՀՀ Կոտայքի մարզի 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Աբովյանի քաղաքապետարանի թիվ 5</w:t>
      </w:r>
      <w:r w:rsidR="00A44428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="000F2914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«Փարոս»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մսուր-</w:t>
      </w:r>
      <w:r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ման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կապարտեզ բյուջետային հիմնարկի (գրանցահամարը՝ 11.01</w:t>
      </w:r>
      <w:r w:rsidR="003C1C27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18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, վկայական՝ Բ 004</w:t>
      </w:r>
      <w:r w:rsidR="003C1C27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386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) վերակազմավորման ճանապարհով և </w:t>
      </w:r>
      <w:r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հանդի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սանում է վերջինիս իրավահաջորդը՝ փոխանցման ակտին համապատասխան։</w:t>
      </w:r>
      <w:r w:rsidR="00A0582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ab/>
      </w:r>
      <w:bookmarkStart w:id="0" w:name="_GoBack"/>
      <w:bookmarkEnd w:id="0"/>
      <w:r w:rsidR="00D339D6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</w:t>
      </w:r>
      <w:r w:rsidR="003C1C27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      </w:t>
      </w:r>
      <w:r w:rsidR="006E7F78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      </w:t>
      </w: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5D8F3D99" w:rsidR="00F213F5" w:rsidRPr="0088596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885964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055D7C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Սևանի փողոց, թիվ 2/4/4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88596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88596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713FF4D4" w:rsidR="00F213F5" w:rsidRPr="0088596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1) հայերեն լրիվ` </w:t>
      </w:r>
      <w:r w:rsidR="00D31C9A" w:rsidRPr="00BE507F">
        <w:rPr>
          <w:rFonts w:ascii="GHEA Grapalat" w:hAnsi="GHEA Grapalat"/>
          <w:sz w:val="22"/>
          <w:szCs w:val="22"/>
          <w:lang w:val="hy-AM"/>
        </w:rPr>
        <w:t>Աբովյան համայնքի</w:t>
      </w:r>
      <w:r w:rsidR="00D31C9A" w:rsidRPr="000D279A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B85E21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D37277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5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</w:t>
      </w:r>
      <w:r w:rsidRPr="00885964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85964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5964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5964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EC2A21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</w:t>
      </w:r>
      <w:r w:rsidR="00885964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B" w14:textId="78380C4C" w:rsidR="00F213F5" w:rsidRPr="00885964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2) հայերեն կրճատ`</w:t>
      </w:r>
      <w:r w:rsidR="009042D5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9042D5" w:rsidRPr="00BE507F">
        <w:rPr>
          <w:rFonts w:ascii="GHEA Grapalat" w:hAnsi="GHEA Grapalat"/>
          <w:sz w:val="22"/>
          <w:szCs w:val="22"/>
          <w:lang w:val="hy-AM"/>
        </w:rPr>
        <w:t>Աբովյան համայնքի</w:t>
      </w:r>
      <w:r w:rsidRPr="000D279A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36363A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5</w:t>
      </w:r>
      <w:r w:rsid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</w:t>
      </w:r>
      <w:r w:rsidR="00885964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D" w14:textId="6AF10343" w:rsidR="00F213F5" w:rsidRPr="00885964" w:rsidRDefault="00F213F5" w:rsidP="00B24EAA">
      <w:pPr>
        <w:pStyle w:val="a7"/>
        <w:spacing w:before="0" w:beforeAutospacing="0" w:after="0" w:afterAutospacing="0"/>
        <w:ind w:firstLine="450"/>
        <w:rPr>
          <w:rFonts w:ascii="GHEA Grapalat" w:hAnsi="GHEA Grapalat"/>
          <w:color w:val="000000" w:themeColor="text1"/>
          <w:sz w:val="22"/>
          <w:szCs w:val="22"/>
        </w:rPr>
      </w:pPr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885964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885964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85964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D24414" w:rsidRPr="00885964">
        <w:rPr>
          <w:rFonts w:ascii="GHEA Grapalat" w:hAnsi="GHEA Grapalat"/>
          <w:color w:val="000000" w:themeColor="text1"/>
          <w:sz w:val="22"/>
          <w:szCs w:val="22"/>
        </w:rPr>
        <w:t>5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общинная некоммерческая организация </w:t>
      </w:r>
      <w:proofErr w:type="spellStart"/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885964" w:rsidRPr="00885964">
        <w:rPr>
          <w:rFonts w:ascii="GHEA Grapalat" w:hAnsi="GHEA Grapalat"/>
          <w:color w:val="000000" w:themeColor="text1"/>
          <w:sz w:val="22"/>
          <w:szCs w:val="22"/>
        </w:rPr>
        <w:t>.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ab/>
        <w:t xml:space="preserve"> 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br/>
      </w:r>
      <w:r w:rsidR="00B24EAA" w:rsidRPr="00885964">
        <w:rPr>
          <w:rFonts w:ascii="GHEA Grapalat" w:hAnsi="GHEA Grapalat"/>
          <w:color w:val="000000" w:themeColor="text1"/>
          <w:sz w:val="22"/>
          <w:szCs w:val="22"/>
        </w:rPr>
        <w:t xml:space="preserve">      </w:t>
      </w:r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Pr="00885964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885964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85964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 5 города Абовяна» </w:t>
      </w:r>
      <w:r w:rsidR="00D24414" w:rsidRPr="00885964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proofErr w:type="spellStart"/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885964" w:rsidRPr="00885964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7552872B" w14:textId="0BCEDFE7" w:rsidR="004A3D44" w:rsidRPr="00885964" w:rsidRDefault="00B24EAA" w:rsidP="001D2C6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EB3DC1">
        <w:rPr>
          <w:rFonts w:ascii="GHEA Grapalat" w:hAnsi="GHEA Grapalat"/>
          <w:color w:val="000000" w:themeColor="text1"/>
        </w:rPr>
        <w:t xml:space="preserve">      </w:t>
      </w:r>
      <w:r w:rsidR="00F213F5" w:rsidRPr="00885964">
        <w:rPr>
          <w:rFonts w:ascii="GHEA Grapalat" w:hAnsi="GHEA Grapalat"/>
          <w:color w:val="000000" w:themeColor="text1"/>
          <w:lang w:val="en-US"/>
        </w:rPr>
        <w:t>5)</w:t>
      </w:r>
      <w:r w:rsidR="00F213F5" w:rsidRPr="00885964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885964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885964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885964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885964">
        <w:rPr>
          <w:rFonts w:ascii="GHEA Grapalat" w:hAnsi="GHEA Grapalat"/>
          <w:color w:val="000000" w:themeColor="text1"/>
          <w:lang w:val="en-US"/>
        </w:rPr>
        <w:t xml:space="preserve">` </w:t>
      </w:r>
      <w:r w:rsidRPr="00885964">
        <w:rPr>
          <w:rFonts w:ascii="GHEA Grapalat" w:hAnsi="GHEA Grapalat"/>
          <w:color w:val="000000" w:themeColor="text1"/>
          <w:lang w:val="en-US"/>
        </w:rPr>
        <w:t xml:space="preserve">“Kindergarten </w:t>
      </w:r>
      <w:r w:rsidR="00885964">
        <w:rPr>
          <w:rFonts w:ascii="GHEA Grapalat" w:hAnsi="GHEA Grapalat"/>
          <w:color w:val="000000" w:themeColor="text1"/>
          <w:lang w:val="en-US"/>
        </w:rPr>
        <w:t xml:space="preserve">number </w:t>
      </w:r>
      <w:r w:rsidRPr="00885964">
        <w:rPr>
          <w:rFonts w:ascii="GHEA Grapalat" w:hAnsi="GHEA Grapalat"/>
          <w:color w:val="000000" w:themeColor="text1"/>
          <w:lang w:val="en-US"/>
        </w:rPr>
        <w:t xml:space="preserve">5 in </w:t>
      </w:r>
      <w:proofErr w:type="spellStart"/>
      <w:r w:rsidRPr="00885964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885964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885964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885964">
        <w:rPr>
          <w:rFonts w:ascii="GHEA Grapalat" w:hAnsi="GHEA Grapalat"/>
          <w:color w:val="000000" w:themeColor="text1"/>
          <w:lang w:val="en-US"/>
        </w:rPr>
        <w:t xml:space="preserve"> Community</w:t>
      </w:r>
      <w:r w:rsidR="001A238D" w:rsidRPr="00885964">
        <w:rPr>
          <w:rFonts w:ascii="GHEA Grapalat" w:hAnsi="GHEA Grapalat"/>
          <w:color w:val="000000" w:themeColor="text1"/>
          <w:lang w:val="en-US"/>
        </w:rPr>
        <w:t xml:space="preserve"> </w:t>
      </w:r>
      <w:r w:rsidRPr="00885964">
        <w:rPr>
          <w:rFonts w:ascii="GHEA Grapalat" w:hAnsi="GHEA Grapalat"/>
          <w:color w:val="000000" w:themeColor="text1"/>
          <w:lang w:val="en-US"/>
        </w:rPr>
        <w:t>N</w:t>
      </w:r>
      <w:r w:rsidR="00885964">
        <w:rPr>
          <w:rFonts w:ascii="GHEA Grapalat" w:hAnsi="GHEA Grapalat"/>
          <w:color w:val="000000" w:themeColor="text1"/>
          <w:lang w:val="en-US"/>
        </w:rPr>
        <w:t>on-Profit Communal Organization.</w:t>
      </w:r>
      <w:r w:rsidR="00885964">
        <w:rPr>
          <w:rFonts w:ascii="GHEA Grapalat" w:hAnsi="GHEA Grapalat"/>
          <w:color w:val="000000" w:themeColor="text1"/>
          <w:lang w:val="en-US"/>
        </w:rPr>
        <w:tab/>
      </w:r>
      <w:r w:rsidRPr="00885964">
        <w:rPr>
          <w:rFonts w:ascii="GHEA Grapalat" w:hAnsi="GHEA Grapalat"/>
          <w:color w:val="000000" w:themeColor="text1"/>
          <w:lang w:val="en-US"/>
        </w:rPr>
        <w:br/>
        <w:t xml:space="preserve">       </w:t>
      </w:r>
      <w:r w:rsidR="00F213F5" w:rsidRPr="00885964">
        <w:rPr>
          <w:rFonts w:ascii="GHEA Grapalat" w:hAnsi="GHEA Grapalat"/>
          <w:color w:val="000000" w:themeColor="text1"/>
          <w:lang w:val="en-US"/>
        </w:rPr>
        <w:t>6)</w:t>
      </w:r>
      <w:r w:rsidR="00F213F5" w:rsidRPr="00885964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885964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885964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885964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885964">
        <w:rPr>
          <w:rFonts w:ascii="GHEA Grapalat" w:hAnsi="GHEA Grapalat"/>
          <w:color w:val="000000" w:themeColor="text1"/>
          <w:lang w:val="en-US"/>
        </w:rPr>
        <w:t xml:space="preserve">` </w:t>
      </w:r>
      <w:r w:rsidRPr="00885964">
        <w:rPr>
          <w:rFonts w:ascii="GHEA Grapalat" w:hAnsi="GHEA Grapalat"/>
          <w:color w:val="000000" w:themeColor="text1"/>
          <w:lang w:val="en-US"/>
        </w:rPr>
        <w:t xml:space="preserve">“Kindergarten </w:t>
      </w:r>
      <w:r w:rsidR="00885964">
        <w:rPr>
          <w:rFonts w:ascii="GHEA Grapalat" w:hAnsi="GHEA Grapalat"/>
          <w:color w:val="000000" w:themeColor="text1"/>
          <w:lang w:val="en-US"/>
        </w:rPr>
        <w:t xml:space="preserve">number </w:t>
      </w:r>
      <w:r w:rsidRPr="00885964">
        <w:rPr>
          <w:rFonts w:ascii="GHEA Grapalat" w:hAnsi="GHEA Grapalat"/>
          <w:color w:val="000000" w:themeColor="text1"/>
          <w:lang w:val="en-US"/>
        </w:rPr>
        <w:t xml:space="preserve">5 in </w:t>
      </w:r>
      <w:proofErr w:type="spellStart"/>
      <w:r w:rsidRPr="00885964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885964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885964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885964">
        <w:rPr>
          <w:rFonts w:ascii="GHEA Grapalat" w:hAnsi="GHEA Grapalat"/>
          <w:color w:val="000000" w:themeColor="text1"/>
          <w:lang w:val="en-US"/>
        </w:rPr>
        <w:t xml:space="preserve"> Community</w:t>
      </w:r>
      <w:r w:rsidR="005A51EC" w:rsidRPr="00885964">
        <w:rPr>
          <w:rFonts w:ascii="GHEA Grapalat" w:hAnsi="GHEA Grapalat"/>
          <w:color w:val="000000" w:themeColor="text1"/>
          <w:lang w:val="en-US"/>
        </w:rPr>
        <w:t xml:space="preserve"> </w:t>
      </w:r>
      <w:r w:rsidR="00994710" w:rsidRPr="00885964">
        <w:rPr>
          <w:rFonts w:ascii="GHEA Grapalat" w:hAnsi="GHEA Grapalat"/>
          <w:color w:val="000000" w:themeColor="text1"/>
          <w:lang w:val="en-US"/>
        </w:rPr>
        <w:t>NPCO</w:t>
      </w:r>
      <w:r w:rsidR="0005120F" w:rsidRPr="00885964">
        <w:rPr>
          <w:rFonts w:ascii="GHEA Grapalat" w:hAnsi="GHEA Grapalat"/>
          <w:color w:val="000000" w:themeColor="text1"/>
          <w:lang w:val="en-US"/>
        </w:rPr>
        <w:t>:</w:t>
      </w:r>
      <w:r w:rsidR="0013788A" w:rsidRPr="00885964">
        <w:rPr>
          <w:rFonts w:ascii="GHEA Grapalat" w:hAnsi="GHEA Grapalat"/>
          <w:color w:val="000000" w:themeColor="text1"/>
          <w:lang w:val="hy-AM"/>
        </w:rPr>
        <w:tab/>
      </w:r>
      <w:r w:rsidR="0005120F" w:rsidRPr="00885964">
        <w:rPr>
          <w:rFonts w:ascii="GHEA Grapalat" w:hAnsi="GHEA Grapalat"/>
          <w:color w:val="000000" w:themeColor="text1"/>
          <w:lang w:val="hy-AM"/>
        </w:rPr>
        <w:t xml:space="preserve">  </w:t>
      </w:r>
      <w:r w:rsidR="0005120F" w:rsidRPr="00885964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13788A" w:rsidRPr="00885964">
        <w:rPr>
          <w:rFonts w:ascii="GHEA Grapalat" w:hAnsi="GHEA Grapalat"/>
          <w:color w:val="000000" w:themeColor="text1"/>
          <w:lang w:val="hy-AM"/>
        </w:rPr>
        <w:t xml:space="preserve">  </w:t>
      </w:r>
      <w:r w:rsidR="0005120F" w:rsidRPr="00885964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885964" w:rsidRPr="00885964">
        <w:rPr>
          <w:rFonts w:ascii="GHEA Grapalat" w:hAnsi="GHEA Grapalat"/>
          <w:color w:val="000000" w:themeColor="text1"/>
          <w:lang w:val="hy-AM"/>
        </w:rPr>
        <w:t xml:space="preserve"> </w:t>
      </w:r>
      <w:r w:rsidR="00885964">
        <w:rPr>
          <w:rFonts w:ascii="GHEA Grapalat" w:hAnsi="GHEA Grapalat"/>
          <w:color w:val="000000" w:themeColor="text1"/>
          <w:lang w:val="hy-AM"/>
        </w:rPr>
        <w:t>և</w:t>
      </w:r>
      <w:r w:rsidR="0005120F" w:rsidRPr="00885964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05120F" w:rsidRPr="00885964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05120F" w:rsidRPr="00885964">
        <w:rPr>
          <w:rFonts w:ascii="GHEA Grapalat" w:hAnsi="GHEA Grapalat"/>
          <w:color w:val="000000" w:themeColor="text1"/>
          <w:lang w:val="hy-AM"/>
        </w:rPr>
        <w:br/>
        <w:t xml:space="preserve">     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հայտարարությունները։</w:t>
      </w:r>
      <w:r w:rsidR="001D2C63">
        <w:rPr>
          <w:rFonts w:ascii="GHEA Grapalat" w:hAnsi="GHEA Grapalat"/>
          <w:color w:val="000000" w:themeColor="text1"/>
          <w:lang w:val="hy-AM"/>
        </w:rPr>
        <w:tab/>
      </w:r>
      <w:r w:rsidR="001D2C63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4A3D44" w:rsidRPr="00885964">
        <w:rPr>
          <w:rFonts w:ascii="GHEA Grapalat" w:hAnsi="GHEA Grapalat"/>
          <w:color w:val="000000" w:themeColor="text1"/>
          <w:lang w:val="hy-AM"/>
        </w:rPr>
        <w:t>8. Հաստատությունն ունի ինքնուրույն հաշվեկշիռ և բանկային հաշիվ:</w:t>
      </w:r>
    </w:p>
    <w:p w14:paraId="7A1881D7" w14:textId="77777777" w:rsidR="004A3D44" w:rsidRPr="00885964" w:rsidRDefault="004A3D44" w:rsidP="004A3D44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9. Հաստատությունն այլ կազմակերպության հիմնադիր կամ մասնակից կարող է հանդիսանալ միայն հիմնադրի որոշմամբ:</w:t>
      </w:r>
    </w:p>
    <w:p w14:paraId="193A13D0" w14:textId="77777777" w:rsidR="004A3D44" w:rsidRPr="00885964" w:rsidRDefault="004A3D44" w:rsidP="004A3D44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6416CC08" w14:textId="77777777" w:rsidR="004A3D44" w:rsidRPr="00885964" w:rsidRDefault="004A3D44" w:rsidP="004A3D44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7" w14:textId="77777777" w:rsidR="00C00858" w:rsidRDefault="00C00858" w:rsidP="004A3D44">
      <w:pPr>
        <w:pStyle w:val="bc6k"/>
        <w:spacing w:before="0" w:beforeAutospacing="0" w:after="0" w:afterAutospacing="0"/>
        <w:ind w:left="450" w:firstLine="450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 xml:space="preserve">28. Տարիքային խմբերի ձևավորումը և երեխաների տեղափոխումն այլ տարիքային խմբեր կատարվում են յուրաքանչյուր տարվա օգոստոսի 20-ից մինչև 30-ը: Ազատ տեղերը </w:t>
      </w: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8B6719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Calibri" w:hAnsi="Calibri" w:cs="Calibri"/>
          <w:color w:val="000000"/>
          <w:sz w:val="22"/>
          <w:szCs w:val="22"/>
          <w:lang w:val="hy-AM"/>
        </w:rPr>
        <w:lastRenderedPageBreak/>
        <w:t> </w:t>
      </w:r>
    </w:p>
    <w:p w14:paraId="4548E002" w14:textId="77777777" w:rsidR="00F213F5" w:rsidRPr="008B6719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52. Մեթոդիստը (տնօրենի ուսումնական գծով տեղակալը)`</w:t>
      </w:r>
    </w:p>
    <w:p w14:paraId="4548E02C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4) կազմակերպում է հաստատության մեթոդկաբինետի աշխատանքը.</w:t>
      </w:r>
    </w:p>
    <w:p w14:paraId="4548E030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A2096C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3B2E2938" w:rsidR="00F213F5" w:rsidRPr="005C659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5C6594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055D7C" w:rsidRPr="005C659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5C6594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59E1E4F8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101B679F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114FC435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65F33FC1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38380A6A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61097393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214B2477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51EB9765" w:rsidR="00F213F5" w:rsidRPr="004A3D44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3D44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F213F5" w:rsidRPr="004A3D44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4A3D4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3D44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4A3D44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4A3D44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4A3D4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3D44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15AF5889" w:rsidR="00F213F5" w:rsidRPr="004A3D44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3D44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F213F5" w:rsidRPr="004A3D44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4A3D4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3D44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4A3D44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2565E2">
      <w:footerReference w:type="default" r:id="rId8"/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FFAC6" w14:textId="77777777" w:rsidR="00E43B40" w:rsidRDefault="00E43B40" w:rsidP="007A3835">
      <w:pPr>
        <w:spacing w:after="0" w:line="240" w:lineRule="auto"/>
      </w:pPr>
      <w:r>
        <w:separator/>
      </w:r>
    </w:p>
  </w:endnote>
  <w:endnote w:type="continuationSeparator" w:id="0">
    <w:p w14:paraId="4172EAF1" w14:textId="77777777" w:rsidR="00E43B40" w:rsidRDefault="00E43B40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439768"/>
      <w:docPartObj>
        <w:docPartGallery w:val="Page Numbers (Bottom of Page)"/>
        <w:docPartUnique/>
      </w:docPartObj>
    </w:sdtPr>
    <w:sdtEndPr/>
    <w:sdtContent>
      <w:p w14:paraId="6DE1BC27" w14:textId="6B464DB6" w:rsidR="002565E2" w:rsidRDefault="002565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21">
          <w:rPr>
            <w:noProof/>
          </w:rPr>
          <w:t>2</w:t>
        </w:r>
        <w:r>
          <w:fldChar w:fldCharType="end"/>
        </w:r>
      </w:p>
    </w:sdtContent>
  </w:sdt>
  <w:p w14:paraId="3B8AC223" w14:textId="77777777" w:rsidR="002565E2" w:rsidRDefault="00256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E8AF" w14:textId="77777777" w:rsidR="00E43B40" w:rsidRDefault="00E43B40" w:rsidP="007A3835">
      <w:pPr>
        <w:spacing w:after="0" w:line="240" w:lineRule="auto"/>
      </w:pPr>
      <w:r>
        <w:separator/>
      </w:r>
    </w:p>
  </w:footnote>
  <w:footnote w:type="continuationSeparator" w:id="0">
    <w:p w14:paraId="46E31515" w14:textId="77777777" w:rsidR="00E43B40" w:rsidRDefault="00E43B40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08BF"/>
    <w:rsid w:val="000027E1"/>
    <w:rsid w:val="0005120F"/>
    <w:rsid w:val="00055D7C"/>
    <w:rsid w:val="00067A51"/>
    <w:rsid w:val="000764F3"/>
    <w:rsid w:val="00084815"/>
    <w:rsid w:val="000A2EE9"/>
    <w:rsid w:val="000C31D9"/>
    <w:rsid w:val="000D279A"/>
    <w:rsid w:val="000E15A1"/>
    <w:rsid w:val="000F2914"/>
    <w:rsid w:val="00104684"/>
    <w:rsid w:val="00137191"/>
    <w:rsid w:val="0013788A"/>
    <w:rsid w:val="0016104C"/>
    <w:rsid w:val="00176079"/>
    <w:rsid w:val="00183C04"/>
    <w:rsid w:val="001A238D"/>
    <w:rsid w:val="001D2C63"/>
    <w:rsid w:val="001E3770"/>
    <w:rsid w:val="002016C0"/>
    <w:rsid w:val="00201DFA"/>
    <w:rsid w:val="00225490"/>
    <w:rsid w:val="002565E2"/>
    <w:rsid w:val="00261A4D"/>
    <w:rsid w:val="00276DBF"/>
    <w:rsid w:val="002962D1"/>
    <w:rsid w:val="002A1757"/>
    <w:rsid w:val="002C0721"/>
    <w:rsid w:val="002C5BFB"/>
    <w:rsid w:val="00326E4D"/>
    <w:rsid w:val="0036363A"/>
    <w:rsid w:val="003C1C27"/>
    <w:rsid w:val="003E0185"/>
    <w:rsid w:val="004052D2"/>
    <w:rsid w:val="00446B05"/>
    <w:rsid w:val="0047042B"/>
    <w:rsid w:val="00473176"/>
    <w:rsid w:val="004A3D44"/>
    <w:rsid w:val="004A438E"/>
    <w:rsid w:val="004A467C"/>
    <w:rsid w:val="004B29F8"/>
    <w:rsid w:val="004E0521"/>
    <w:rsid w:val="004F3E8E"/>
    <w:rsid w:val="00555286"/>
    <w:rsid w:val="005761F8"/>
    <w:rsid w:val="005A51EC"/>
    <w:rsid w:val="005C55A7"/>
    <w:rsid w:val="005C6594"/>
    <w:rsid w:val="005F1B7F"/>
    <w:rsid w:val="00600F77"/>
    <w:rsid w:val="00616A6E"/>
    <w:rsid w:val="00636971"/>
    <w:rsid w:val="00666AEF"/>
    <w:rsid w:val="006837CC"/>
    <w:rsid w:val="006E7F78"/>
    <w:rsid w:val="00736DFB"/>
    <w:rsid w:val="007A3835"/>
    <w:rsid w:val="008000D5"/>
    <w:rsid w:val="00865757"/>
    <w:rsid w:val="00885964"/>
    <w:rsid w:val="00896DB2"/>
    <w:rsid w:val="008A01DA"/>
    <w:rsid w:val="008A4AC5"/>
    <w:rsid w:val="008A5477"/>
    <w:rsid w:val="008B6719"/>
    <w:rsid w:val="008D2217"/>
    <w:rsid w:val="009042D5"/>
    <w:rsid w:val="00951430"/>
    <w:rsid w:val="00984026"/>
    <w:rsid w:val="00994710"/>
    <w:rsid w:val="009A7EA8"/>
    <w:rsid w:val="009B5EC1"/>
    <w:rsid w:val="009E18A9"/>
    <w:rsid w:val="00A00401"/>
    <w:rsid w:val="00A05821"/>
    <w:rsid w:val="00A2096C"/>
    <w:rsid w:val="00A22AD1"/>
    <w:rsid w:val="00A3584A"/>
    <w:rsid w:val="00A378E2"/>
    <w:rsid w:val="00A44428"/>
    <w:rsid w:val="00A44A72"/>
    <w:rsid w:val="00A81470"/>
    <w:rsid w:val="00A91BA6"/>
    <w:rsid w:val="00AA70E3"/>
    <w:rsid w:val="00AB2A8D"/>
    <w:rsid w:val="00AC2DFB"/>
    <w:rsid w:val="00B124EE"/>
    <w:rsid w:val="00B17816"/>
    <w:rsid w:val="00B17B1D"/>
    <w:rsid w:val="00B24EAA"/>
    <w:rsid w:val="00B3680F"/>
    <w:rsid w:val="00B40791"/>
    <w:rsid w:val="00B459CF"/>
    <w:rsid w:val="00B85E21"/>
    <w:rsid w:val="00BA0CA4"/>
    <w:rsid w:val="00BB0346"/>
    <w:rsid w:val="00BC74CE"/>
    <w:rsid w:val="00BD3B43"/>
    <w:rsid w:val="00BE507F"/>
    <w:rsid w:val="00C00858"/>
    <w:rsid w:val="00C05CDD"/>
    <w:rsid w:val="00C147ED"/>
    <w:rsid w:val="00C24959"/>
    <w:rsid w:val="00C62E64"/>
    <w:rsid w:val="00C92E5F"/>
    <w:rsid w:val="00CA05E0"/>
    <w:rsid w:val="00CC7321"/>
    <w:rsid w:val="00D16AEC"/>
    <w:rsid w:val="00D24414"/>
    <w:rsid w:val="00D31C9A"/>
    <w:rsid w:val="00D339D6"/>
    <w:rsid w:val="00D37277"/>
    <w:rsid w:val="00DE089E"/>
    <w:rsid w:val="00DE297F"/>
    <w:rsid w:val="00E02DD6"/>
    <w:rsid w:val="00E03B55"/>
    <w:rsid w:val="00E41D8C"/>
    <w:rsid w:val="00E43B40"/>
    <w:rsid w:val="00EB3DC1"/>
    <w:rsid w:val="00EC2A21"/>
    <w:rsid w:val="00EC55E2"/>
    <w:rsid w:val="00EE79E8"/>
    <w:rsid w:val="00F213F5"/>
    <w:rsid w:val="00F30B7C"/>
    <w:rsid w:val="00F32784"/>
    <w:rsid w:val="00F36ACF"/>
    <w:rsid w:val="00F65DC9"/>
    <w:rsid w:val="00F77AF2"/>
    <w:rsid w:val="00FB0DCB"/>
    <w:rsid w:val="00FC53F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6D48-6B2B-41F5-A475-936AF491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96</cp:revision>
  <cp:lastPrinted>2022-11-07T11:53:00Z</cp:lastPrinted>
  <dcterms:created xsi:type="dcterms:W3CDTF">2022-09-20T07:24:00Z</dcterms:created>
  <dcterms:modified xsi:type="dcterms:W3CDTF">2022-11-10T05:55:00Z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